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94 vom 1. Februar 1984</w:t>
      </w:r>
    </w:p>
    <w:p>
      <w:r>
        <w:t>Bundesgericht (BGE), 1984-02-01, FR</w:t>
      </w:r>
    </w:p>
    <w:p>
      <w:r>
        <w:rPr>
          <w:b/>
        </w:rPr>
        <w:t xml:space="preserve">Quelle: </w:t>
      </w:r>
      <w:r>
        <w:t>https://mcp.opencaselaw.ch/entscheid/bge_110 IB 94</w:t>
      </w:r>
    </w:p>
    <w:p>
      <w:r>
        <w:t>FR: BGE 110 IB 94 du 1 février 1984</w:t>
      </w:r>
    </w:p>
    <w:p>
      <w:r>
        <w:t>IT: BGE 110 IB 94 del 1 febbraio 1984</w:t>
      </w:r>
    </w:p>
    <w:p>
      <w:pPr>
        <w:pStyle w:val="Heading2"/>
      </w:pPr>
      <w:r>
        <w:t>Regeste</w:t>
      </w:r>
    </w:p>
    <w:p>
      <w:r>
        <w:t>Regeste Art. 35 Abs. 1 OG; Wiederherstellung gegen Fristversäumnis. Verschulden des Anwalts, der eine Verfügung betreffend die Vorschusspflicht seinem Kunden zustellt, ohne sich zu vergewissern, ob dieser die Mitteilung tatsächlich erhalten und den Vorschuss fristgemäss geleistet hat.</w:t>
      </w:r>
    </w:p>
    <w:p>
      <w:pPr>
        <w:pStyle w:val="Heading2"/>
      </w:pPr>
      <w:r>
        <w:t>Erwägungen</w:t>
      </w:r>
    </w:p>
    <w:p>
      <w:r>
        <w:rPr>
          <w:b/>
        </w:rPr>
        <w:t>E. 1</w:t>
      </w:r>
    </w:p>
    <w:p>
      <w:r>
        <w:t>Le mandataire du recourant a présenté la demande de restitution du délai pour verser l'avance de frais au Tribunal fédéral par écrit et dans le délai de dix jours prévu par l' art. 35 al. 1 OJ . Il y a lieu dès lors d'entrer en matière sur la présente requête.</w:t>
      </w:r>
    </w:p>
    <w:p>
      <w:r>
        <w:rPr>
          <w:b/>
        </w:rPr>
        <w:t>E. 2</w:t>
      </w:r>
    </w:p>
    <w:p>
      <w:r>
        <w:t>La restitution pour inobservation d'un délai, selon l' art. 35 al. 1 OJ , ne peut être accordée que si, non seulement la partie elle-même, mais aussi son représentant au procès ont été empêchés, sans faute de leur part, d'agir dans le délai fixé ( ATF 104 Ib 63 , ATF 96 I 472 ). A cet égard, le Tribunal fédéral a déjà eu l'occasion de constater qu'il appartenait à l'avocat de remettre, par pli recommandé, les communications concernant les délais de recours ou de s'assurer à temps, auprès de son client, que celui-ci entend s'accommoder du jugement qu'il a reçu ou recourir ( ATF 106 II 174 /175). Il en a déduit que cette jurisprudence était également applicable à un avocat qui reçoit une ordonnance pour payer l'avance de frais, celui-ci étant tenu de vérifier que cette ordonnance est vraiment parvenue à son mandant (arrêt du 29 janvier 1981 en la cause S.I. Les Vieux Toits S.A. et Fondation pour l'éducation, la santé et la vie c. Neuchâtel, Département de l'intérieur et Conseil d'Etat). En l'occurrence, on doit constater que le recourant a certes fait preuve de négligence en ne communiquant pas la date de ses vacances à son avocat. Toutefois, il appartenait également à ce dernier de s'assurer que son client avait bien reçu la communication concernant l'avance de frais et qu'il avait effectué le paiement en temps utile. Tant le recourant que son mandataire sont dès lors responsables du retard dans le versement de l'avance de frais, de sorte que la demande de restitution du délai doit être rejetée.</w:t>
      </w:r>
    </w:p>
    <w:p>
      <w:r>
        <w:rPr>
          <w:b/>
        </w:rPr>
        <w:t>E. 3</w:t>
      </w:r>
    </w:p>
    <w:p>
      <w:r>
        <w:t>Le paiement de l'avance de frais n'ayant pas été effectué dans le délai imparti, il y a lieu, en application de l' art. 150 al. 4 OJ et conformément à l'avertissement donné dans l'ordonnance du Tribunal fédéral du 1er février 1984, de déclarer le recours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